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41" w:rsidRPr="00AB7797" w:rsidRDefault="00BB2A41" w:rsidP="00BB2A41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  <w:bookmarkStart w:id="0" w:name="_GoBack"/>
      <w:bookmarkEnd w:id="0"/>
      <w:r w:rsidRPr="00AB7797">
        <w:rPr>
          <w:rFonts w:ascii="Times New Roman" w:hAnsi="Times New Roman" w:cs="Times New Roman"/>
          <w:b/>
          <w:bCs/>
          <w:iCs/>
        </w:rPr>
        <w:t>XXIX Reunión de Altas Autoridades de Derechos Humanos y Cancillerías de MERCOSUR</w:t>
      </w:r>
    </w:p>
    <w:p w:rsidR="007F4933" w:rsidRPr="00AB7797" w:rsidRDefault="007F4933" w:rsidP="007F493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58F7" w:rsidRDefault="000358F7" w:rsidP="000358F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Comisión Permanente de Memoria, Verdad y Justicia</w:t>
      </w:r>
    </w:p>
    <w:p w:rsidR="000358F7" w:rsidRDefault="000358F7" w:rsidP="000358F7">
      <w:pPr>
        <w:jc w:val="center"/>
        <w:rPr>
          <w:b/>
          <w:sz w:val="24"/>
          <w:szCs w:val="24"/>
          <w:u w:val="single"/>
        </w:rPr>
      </w:pPr>
      <w:r w:rsidRPr="00893DD5">
        <w:rPr>
          <w:b/>
          <w:sz w:val="24"/>
          <w:szCs w:val="24"/>
          <w:u w:val="single"/>
        </w:rPr>
        <w:t xml:space="preserve">Día </w:t>
      </w:r>
      <w:r>
        <w:rPr>
          <w:b/>
          <w:sz w:val="24"/>
          <w:szCs w:val="24"/>
          <w:u w:val="single"/>
        </w:rPr>
        <w:t>31</w:t>
      </w:r>
      <w:r w:rsidRPr="00893DD5"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Mayo</w:t>
      </w:r>
    </w:p>
    <w:p w:rsidR="000358F7" w:rsidRPr="00893DD5" w:rsidRDefault="000358F7" w:rsidP="000358F7">
      <w:pPr>
        <w:jc w:val="center"/>
        <w:rPr>
          <w:b/>
          <w:sz w:val="24"/>
          <w:szCs w:val="24"/>
          <w:u w:val="single"/>
        </w:rPr>
      </w:pPr>
    </w:p>
    <w:p w:rsidR="000358F7" w:rsidRPr="004C42FF" w:rsidRDefault="000358F7" w:rsidP="000358F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8.30 – 9.0</w:t>
      </w:r>
      <w:r w:rsidRPr="004C42FF">
        <w:rPr>
          <w:b/>
          <w:sz w:val="24"/>
          <w:szCs w:val="24"/>
        </w:rPr>
        <w:t xml:space="preserve">0 </w:t>
      </w:r>
      <w:proofErr w:type="spellStart"/>
      <w:r w:rsidRPr="004C42FF">
        <w:rPr>
          <w:b/>
          <w:sz w:val="24"/>
          <w:szCs w:val="24"/>
        </w:rPr>
        <w:t>hs</w:t>
      </w:r>
      <w:proofErr w:type="spellEnd"/>
      <w:r w:rsidRPr="004C42FF">
        <w:rPr>
          <w:b/>
          <w:sz w:val="24"/>
          <w:szCs w:val="24"/>
        </w:rPr>
        <w:t xml:space="preserve">. </w:t>
      </w:r>
      <w:r w:rsidRPr="004C42FF">
        <w:rPr>
          <w:sz w:val="24"/>
          <w:szCs w:val="24"/>
        </w:rPr>
        <w:t>Acreditaciones y Bienvenida</w:t>
      </w:r>
    </w:p>
    <w:p w:rsidR="000358F7" w:rsidRPr="004C42FF" w:rsidRDefault="000358F7" w:rsidP="000358F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9.30 – 11.00 </w:t>
      </w:r>
      <w:proofErr w:type="spellStart"/>
      <w:r w:rsidRPr="004C42FF">
        <w:rPr>
          <w:b/>
          <w:sz w:val="24"/>
          <w:szCs w:val="24"/>
        </w:rPr>
        <w:t>hs</w:t>
      </w:r>
      <w:proofErr w:type="spellEnd"/>
      <w:r w:rsidRPr="004C42FF">
        <w:rPr>
          <w:b/>
          <w:sz w:val="24"/>
          <w:szCs w:val="24"/>
        </w:rPr>
        <w:t>.</w:t>
      </w:r>
      <w:r w:rsidRPr="004C42FF">
        <w:rPr>
          <w:sz w:val="24"/>
          <w:szCs w:val="24"/>
        </w:rPr>
        <w:t xml:space="preserve"> </w:t>
      </w:r>
    </w:p>
    <w:p w:rsidR="000358F7" w:rsidRPr="004C42FF" w:rsidRDefault="000358F7" w:rsidP="000358F7">
      <w:pPr>
        <w:pStyle w:val="Prrafodelista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4C42FF">
        <w:rPr>
          <w:sz w:val="24"/>
          <w:szCs w:val="24"/>
        </w:rPr>
        <w:t xml:space="preserve">Reparación </w:t>
      </w:r>
      <w:proofErr w:type="spellStart"/>
      <w:r w:rsidRPr="004C42FF">
        <w:rPr>
          <w:sz w:val="24"/>
          <w:szCs w:val="24"/>
        </w:rPr>
        <w:t>Psico</w:t>
      </w:r>
      <w:proofErr w:type="spellEnd"/>
      <w:r w:rsidRPr="004C42FF">
        <w:rPr>
          <w:sz w:val="24"/>
          <w:szCs w:val="24"/>
        </w:rPr>
        <w:t>-Social</w:t>
      </w:r>
    </w:p>
    <w:p w:rsidR="000358F7" w:rsidRPr="004C42FF" w:rsidRDefault="000358F7" w:rsidP="000358F7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4C42FF">
        <w:rPr>
          <w:sz w:val="24"/>
          <w:szCs w:val="24"/>
        </w:rPr>
        <w:t xml:space="preserve">Seminario sobre experiencias de reparación </w:t>
      </w:r>
      <w:proofErr w:type="spellStart"/>
      <w:r w:rsidRPr="004C42FF">
        <w:rPr>
          <w:sz w:val="24"/>
          <w:szCs w:val="24"/>
        </w:rPr>
        <w:t>ps</w:t>
      </w:r>
      <w:r>
        <w:rPr>
          <w:sz w:val="24"/>
          <w:szCs w:val="24"/>
        </w:rPr>
        <w:t>i</w:t>
      </w:r>
      <w:r w:rsidRPr="004C42FF">
        <w:rPr>
          <w:sz w:val="24"/>
          <w:szCs w:val="24"/>
        </w:rPr>
        <w:t>co</w:t>
      </w:r>
      <w:proofErr w:type="spellEnd"/>
      <w:r w:rsidRPr="004C42FF">
        <w:rPr>
          <w:sz w:val="24"/>
          <w:szCs w:val="24"/>
        </w:rPr>
        <w:t>-social. Estado de la propuesta de Amnistía Brasil</w:t>
      </w:r>
      <w:r>
        <w:rPr>
          <w:sz w:val="24"/>
          <w:szCs w:val="24"/>
        </w:rPr>
        <w:t xml:space="preserve"> en la Reunión de Mayo 2016.</w:t>
      </w:r>
    </w:p>
    <w:p w:rsidR="000358F7" w:rsidRPr="004C42FF" w:rsidRDefault="000358F7" w:rsidP="000358F7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4C42FF">
        <w:rPr>
          <w:sz w:val="24"/>
          <w:szCs w:val="24"/>
        </w:rPr>
        <w:t xml:space="preserve">Nuevas formas de reparación </w:t>
      </w:r>
      <w:proofErr w:type="spellStart"/>
      <w:r w:rsidRPr="004C42FF">
        <w:rPr>
          <w:sz w:val="24"/>
          <w:szCs w:val="24"/>
        </w:rPr>
        <w:t>ps</w:t>
      </w:r>
      <w:r>
        <w:rPr>
          <w:sz w:val="24"/>
          <w:szCs w:val="24"/>
        </w:rPr>
        <w:t>i</w:t>
      </w:r>
      <w:r w:rsidRPr="004C42FF">
        <w:rPr>
          <w:sz w:val="24"/>
          <w:szCs w:val="24"/>
        </w:rPr>
        <w:t>co</w:t>
      </w:r>
      <w:proofErr w:type="spellEnd"/>
      <w:r w:rsidRPr="004C42FF">
        <w:rPr>
          <w:sz w:val="24"/>
          <w:szCs w:val="24"/>
        </w:rPr>
        <w:t>-social. La experiencia Argentina sobre el        tratamiento de las secuelas.</w:t>
      </w:r>
      <w:r>
        <w:rPr>
          <w:sz w:val="24"/>
          <w:szCs w:val="24"/>
        </w:rPr>
        <w:t xml:space="preserve"> Exposición del equipo interdisciplinario del Centro Fernando Ulloa.</w:t>
      </w:r>
    </w:p>
    <w:p w:rsidR="000358F7" w:rsidRDefault="000358F7" w:rsidP="000358F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11.00 – 12.00 </w:t>
      </w:r>
      <w:proofErr w:type="spellStart"/>
      <w:r>
        <w:rPr>
          <w:b/>
          <w:sz w:val="24"/>
          <w:szCs w:val="24"/>
        </w:rPr>
        <w:t>hs</w:t>
      </w:r>
      <w:proofErr w:type="spellEnd"/>
      <w:r>
        <w:rPr>
          <w:sz w:val="24"/>
          <w:szCs w:val="24"/>
        </w:rPr>
        <w:t xml:space="preserve"> </w:t>
      </w:r>
    </w:p>
    <w:p w:rsidR="000358F7" w:rsidRDefault="000358F7" w:rsidP="000358F7">
      <w:pPr>
        <w:jc w:val="both"/>
        <w:rPr>
          <w:sz w:val="24"/>
          <w:szCs w:val="24"/>
        </w:rPr>
      </w:pPr>
      <w:r>
        <w:rPr>
          <w:sz w:val="24"/>
          <w:szCs w:val="24"/>
        </w:rPr>
        <w:t>2- Consideración sobre la posibilidad de concretar un memorándum de entendimiento multilateral que permitan compartir material documental de interés particular para cada país.</w:t>
      </w:r>
    </w:p>
    <w:p w:rsidR="000358F7" w:rsidRDefault="000358F7" w:rsidP="000358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14.00</w:t>
      </w:r>
      <w:r w:rsidRPr="00893D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17.00 </w:t>
      </w:r>
      <w:proofErr w:type="spellStart"/>
      <w:r w:rsidRPr="00893DD5">
        <w:rPr>
          <w:b/>
          <w:sz w:val="24"/>
          <w:szCs w:val="24"/>
        </w:rPr>
        <w:t>hs</w:t>
      </w:r>
      <w:proofErr w:type="spellEnd"/>
      <w:r w:rsidRPr="00893DD5">
        <w:rPr>
          <w:b/>
          <w:sz w:val="24"/>
          <w:szCs w:val="24"/>
        </w:rPr>
        <w:t xml:space="preserve">. </w:t>
      </w:r>
    </w:p>
    <w:p w:rsidR="000358F7" w:rsidRDefault="000358F7" w:rsidP="000358F7">
      <w:pPr>
        <w:jc w:val="both"/>
        <w:rPr>
          <w:sz w:val="24"/>
          <w:szCs w:val="24"/>
        </w:rPr>
      </w:pPr>
      <w:r w:rsidRPr="00AE1C97">
        <w:rPr>
          <w:sz w:val="24"/>
          <w:szCs w:val="24"/>
        </w:rPr>
        <w:t>3-</w:t>
      </w:r>
      <w:r>
        <w:rPr>
          <w:sz w:val="24"/>
          <w:szCs w:val="24"/>
        </w:rPr>
        <w:t xml:space="preserve"> Consideraciones sobre las acciones llevadas a cabo sobre el acervo documental de Memoria, Verdad y Justicia.</w:t>
      </w:r>
    </w:p>
    <w:p w:rsidR="000358F7" w:rsidRDefault="000358F7" w:rsidP="000358F7">
      <w:pPr>
        <w:pStyle w:val="Prrafode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Ampliación y actualización del acervo documental Cóndor para que sea de utilidad en otros procesos judiciales;</w:t>
      </w:r>
    </w:p>
    <w:p w:rsidR="000358F7" w:rsidRDefault="000358F7" w:rsidP="000358F7">
      <w:pPr>
        <w:pStyle w:val="Prrafode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Estado del proyecto presentado por el IPPDH para la conformación de una plataforma virtual con el acervo de historia oral a nivel regional.</w:t>
      </w:r>
      <w:r w:rsidRPr="00502E97">
        <w:rPr>
          <w:sz w:val="24"/>
          <w:szCs w:val="24"/>
        </w:rPr>
        <w:t xml:space="preserve">    </w:t>
      </w:r>
    </w:p>
    <w:p w:rsidR="000358F7" w:rsidRPr="006118FC" w:rsidRDefault="000358F7" w:rsidP="000358F7">
      <w:pPr>
        <w:pStyle w:val="Prrafodelista"/>
        <w:numPr>
          <w:ilvl w:val="0"/>
          <w:numId w:val="2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Proyecto de confección de un </w:t>
      </w:r>
      <w:r w:rsidRPr="006118FC">
        <w:rPr>
          <w:sz w:val="24"/>
          <w:szCs w:val="24"/>
        </w:rPr>
        <w:t xml:space="preserve">acervo documental </w:t>
      </w:r>
      <w:r>
        <w:rPr>
          <w:sz w:val="24"/>
          <w:szCs w:val="24"/>
        </w:rPr>
        <w:t xml:space="preserve">regional </w:t>
      </w:r>
      <w:r w:rsidRPr="006118FC">
        <w:rPr>
          <w:sz w:val="24"/>
          <w:szCs w:val="24"/>
        </w:rPr>
        <w:t>de sentencias emblemáticas</w:t>
      </w:r>
      <w:r>
        <w:rPr>
          <w:sz w:val="24"/>
          <w:szCs w:val="24"/>
        </w:rPr>
        <w:t>.</w:t>
      </w:r>
    </w:p>
    <w:p w:rsidR="000358F7" w:rsidRPr="00502E97" w:rsidRDefault="000358F7" w:rsidP="000358F7">
      <w:pPr>
        <w:pStyle w:val="Prrafodelista"/>
        <w:jc w:val="both"/>
        <w:rPr>
          <w:sz w:val="24"/>
          <w:szCs w:val="24"/>
        </w:rPr>
      </w:pPr>
    </w:p>
    <w:p w:rsidR="000358F7" w:rsidRPr="00C06744" w:rsidRDefault="000358F7" w:rsidP="000358F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4- </w:t>
      </w:r>
      <w:r w:rsidRPr="00C06744">
        <w:rPr>
          <w:sz w:val="24"/>
          <w:szCs w:val="24"/>
        </w:rPr>
        <w:t xml:space="preserve">Difusión de la sentencia sobre crímenes de lesa humanidad que sienten jurisprudencia en los Estados parte, en especial las del juicio sobre el Plan Cóndor. </w:t>
      </w:r>
      <w:r>
        <w:rPr>
          <w:sz w:val="24"/>
          <w:szCs w:val="24"/>
        </w:rPr>
        <w:t>Exposición del abogado querellante por la Secretaria de DDHH de la Nación Argentina, de la sentencia de Plan Cóndor.</w:t>
      </w:r>
    </w:p>
    <w:p w:rsidR="000358F7" w:rsidRPr="00C06744" w:rsidRDefault="000358F7" w:rsidP="000358F7">
      <w:pPr>
        <w:jc w:val="both"/>
        <w:rPr>
          <w:sz w:val="24"/>
          <w:szCs w:val="24"/>
        </w:rPr>
      </w:pPr>
    </w:p>
    <w:p w:rsidR="000358F7" w:rsidRDefault="000358F7" w:rsidP="000358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Conformación del Acta y Cierre</w:t>
      </w:r>
    </w:p>
    <w:p w:rsidR="000358F7" w:rsidRPr="001128F4" w:rsidRDefault="000358F7" w:rsidP="000358F7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Día 1°</w:t>
      </w:r>
      <w:r w:rsidRPr="001128F4"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Junio</w:t>
      </w:r>
    </w:p>
    <w:p w:rsidR="000358F7" w:rsidRDefault="000358F7" w:rsidP="000358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9.30 – 12.00 </w:t>
      </w:r>
      <w:proofErr w:type="spellStart"/>
      <w:r>
        <w:rPr>
          <w:b/>
          <w:sz w:val="24"/>
          <w:szCs w:val="24"/>
        </w:rPr>
        <w:t>hs</w:t>
      </w:r>
      <w:proofErr w:type="spellEnd"/>
      <w:r>
        <w:rPr>
          <w:b/>
          <w:sz w:val="24"/>
          <w:szCs w:val="24"/>
        </w:rPr>
        <w:t>.</w:t>
      </w:r>
    </w:p>
    <w:p w:rsidR="000358F7" w:rsidRDefault="000358F7" w:rsidP="000358F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557F6">
        <w:rPr>
          <w:sz w:val="24"/>
          <w:szCs w:val="24"/>
        </w:rPr>
        <w:t>-</w:t>
      </w:r>
      <w:r>
        <w:rPr>
          <w:sz w:val="24"/>
          <w:szCs w:val="24"/>
        </w:rPr>
        <w:t xml:space="preserve"> Avances del curso de capacitación sobre prevención del genocidio de graves violaciones a los Derechos Humanos a través de la Red Latinoamericana para la Prevención de Genocidio y Atrocidades Masivas, que se encontrará disponible en la Plataforma virtual en el segundo semestre del 2017.</w:t>
      </w:r>
    </w:p>
    <w:p w:rsidR="000358F7" w:rsidRDefault="000358F7" w:rsidP="000358F7">
      <w:pPr>
        <w:jc w:val="both"/>
        <w:rPr>
          <w:sz w:val="24"/>
          <w:szCs w:val="24"/>
        </w:rPr>
      </w:pPr>
      <w:r>
        <w:rPr>
          <w:sz w:val="24"/>
          <w:szCs w:val="24"/>
        </w:rPr>
        <w:t>6- Mesa de trabajo temático sobre el avance de la Justicia en la búsqueda de desaparecidos. Puesta en común y Definiciones.</w:t>
      </w:r>
    </w:p>
    <w:p w:rsidR="000358F7" w:rsidRDefault="000358F7" w:rsidP="00035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7- Formas y beneficios de la señalización de sitios de Memoria </w:t>
      </w:r>
    </w:p>
    <w:p w:rsidR="000358F7" w:rsidRDefault="000358F7" w:rsidP="000358F7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Experiencia en la identificación de los mismos, mantenimiento de la Memoria y repercusión a nivel local y Regional.</w:t>
      </w:r>
    </w:p>
    <w:p w:rsidR="000358F7" w:rsidRDefault="000358F7" w:rsidP="000358F7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Puesta a disposición de los listado de Sitios de Memoria señalizado.</w:t>
      </w:r>
    </w:p>
    <w:p w:rsidR="000358F7" w:rsidRDefault="000358F7" w:rsidP="000358F7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Visita al Museo de la Memoria de la Ex </w:t>
      </w:r>
      <w:proofErr w:type="spellStart"/>
      <w:r>
        <w:rPr>
          <w:sz w:val="24"/>
          <w:szCs w:val="24"/>
        </w:rPr>
        <w:t>Esma</w:t>
      </w:r>
      <w:proofErr w:type="spellEnd"/>
    </w:p>
    <w:p w:rsidR="000358F7" w:rsidRDefault="000358F7" w:rsidP="000358F7">
      <w:pPr>
        <w:jc w:val="both"/>
        <w:rPr>
          <w:sz w:val="24"/>
          <w:szCs w:val="24"/>
        </w:rPr>
      </w:pPr>
    </w:p>
    <w:p w:rsidR="000358F7" w:rsidRPr="001128F4" w:rsidRDefault="000358F7" w:rsidP="000358F7">
      <w:pPr>
        <w:jc w:val="both"/>
        <w:rPr>
          <w:b/>
          <w:sz w:val="24"/>
          <w:szCs w:val="24"/>
        </w:rPr>
      </w:pPr>
      <w:r w:rsidRPr="001128F4">
        <w:rPr>
          <w:b/>
          <w:sz w:val="24"/>
          <w:szCs w:val="24"/>
        </w:rPr>
        <w:t>Revisión final y firma del Acta de la sesión</w:t>
      </w:r>
    </w:p>
    <w:p w:rsidR="000358F7" w:rsidRPr="00783ACA" w:rsidRDefault="000358F7" w:rsidP="000358F7">
      <w:pPr>
        <w:jc w:val="center"/>
        <w:rPr>
          <w:b/>
          <w:sz w:val="24"/>
          <w:szCs w:val="24"/>
          <w:u w:val="single"/>
        </w:rPr>
      </w:pPr>
    </w:p>
    <w:p w:rsidR="00CA69B1" w:rsidRPr="00AB7797" w:rsidRDefault="00CA69B1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sectPr w:rsidR="00CA69B1" w:rsidRPr="00AB779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1F" w:rsidRDefault="0055671F" w:rsidP="00BB2A41">
      <w:pPr>
        <w:spacing w:after="0" w:line="240" w:lineRule="auto"/>
      </w:pPr>
      <w:r>
        <w:separator/>
      </w:r>
    </w:p>
  </w:endnote>
  <w:endnote w:type="continuationSeparator" w:id="0">
    <w:p w:rsidR="0055671F" w:rsidRDefault="0055671F" w:rsidP="00BB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1F" w:rsidRDefault="0055671F" w:rsidP="00BB2A41">
      <w:pPr>
        <w:spacing w:after="0" w:line="240" w:lineRule="auto"/>
      </w:pPr>
      <w:r>
        <w:separator/>
      </w:r>
    </w:p>
  </w:footnote>
  <w:footnote w:type="continuationSeparator" w:id="0">
    <w:p w:rsidR="0055671F" w:rsidRDefault="0055671F" w:rsidP="00BB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41" w:rsidRDefault="00BB2A41" w:rsidP="00BB2A41">
    <w:pPr>
      <w:pStyle w:val="Encabezado"/>
      <w:tabs>
        <w:tab w:val="clear" w:pos="4419"/>
      </w:tabs>
    </w:pPr>
    <w:r>
      <w:rPr>
        <w:lang w:eastAsia="es-AR"/>
      </w:rPr>
      <w:fldChar w:fldCharType="begin"/>
    </w:r>
    <w:r>
      <w:rPr>
        <w:lang w:eastAsia="es-AR"/>
      </w:rPr>
      <w:instrText xml:space="preserve"> INCLUDEPICTURE  "cid:image001.png@01D28DE3.A5F38BE0" \* MERGEFORMATINET </w:instrText>
    </w:r>
    <w:r>
      <w:rPr>
        <w:lang w:eastAsia="es-AR"/>
      </w:rPr>
      <w:fldChar w:fldCharType="separate"/>
    </w:r>
    <w:r w:rsidR="009D624A">
      <w:rPr>
        <w:lang w:eastAsia="es-AR"/>
      </w:rPr>
      <w:fldChar w:fldCharType="begin"/>
    </w:r>
    <w:r w:rsidR="009D624A">
      <w:rPr>
        <w:lang w:eastAsia="es-AR"/>
      </w:rPr>
      <w:instrText xml:space="preserve"> INCLUDEPICTURE  "cid:image001.png@01D28DE3.A5F38BE0" \* MERGEFORMATINET </w:instrText>
    </w:r>
    <w:r w:rsidR="009D624A">
      <w:rPr>
        <w:lang w:eastAsia="es-AR"/>
      </w:rPr>
      <w:fldChar w:fldCharType="separate"/>
    </w:r>
    <w:r w:rsidR="00214F1F">
      <w:rPr>
        <w:lang w:eastAsia="es-AR"/>
      </w:rPr>
      <w:fldChar w:fldCharType="begin"/>
    </w:r>
    <w:r w:rsidR="00214F1F">
      <w:rPr>
        <w:lang w:eastAsia="es-AR"/>
      </w:rPr>
      <w:instrText xml:space="preserve"> INCLUDEPICTURE  "cid:image001.png@01D28DE3.A5F38BE0" \* MERGEFORMATINET </w:instrText>
    </w:r>
    <w:r w:rsidR="00214F1F">
      <w:rPr>
        <w:lang w:eastAsia="es-AR"/>
      </w:rPr>
      <w:fldChar w:fldCharType="separate"/>
    </w:r>
    <w:r w:rsidR="00F66453">
      <w:rPr>
        <w:lang w:eastAsia="es-AR"/>
      </w:rPr>
      <w:fldChar w:fldCharType="begin"/>
    </w:r>
    <w:r w:rsidR="00F66453">
      <w:rPr>
        <w:lang w:eastAsia="es-AR"/>
      </w:rPr>
      <w:instrText xml:space="preserve"> INCLUDEPICTURE  "cid:image001.png@01D28DE3.A5F38BE0" \* MERGEFORMATINET </w:instrText>
    </w:r>
    <w:r w:rsidR="00F66453">
      <w:rPr>
        <w:lang w:eastAsia="es-AR"/>
      </w:rPr>
      <w:fldChar w:fldCharType="separate"/>
    </w:r>
    <w:r w:rsidR="00011D14">
      <w:rPr>
        <w:lang w:eastAsia="es-AR"/>
      </w:rPr>
      <w:fldChar w:fldCharType="begin"/>
    </w:r>
    <w:r w:rsidR="00011D14">
      <w:rPr>
        <w:lang w:eastAsia="es-AR"/>
      </w:rPr>
      <w:instrText xml:space="preserve"> INCLUDEPICTURE  "cid:image001.png@01D28DE3.A5F38BE0" \* MERGEFORMATINET </w:instrText>
    </w:r>
    <w:r w:rsidR="00011D14">
      <w:rPr>
        <w:lang w:eastAsia="es-AR"/>
      </w:rPr>
      <w:fldChar w:fldCharType="separate"/>
    </w:r>
    <w:r w:rsidR="00120247">
      <w:rPr>
        <w:lang w:eastAsia="es-AR"/>
      </w:rPr>
      <w:fldChar w:fldCharType="begin"/>
    </w:r>
    <w:r w:rsidR="00120247">
      <w:rPr>
        <w:lang w:eastAsia="es-AR"/>
      </w:rPr>
      <w:instrText xml:space="preserve"> INCLUDEPICTURE  "cid:image001.png@01D28DE3.A5F38BE0" \* MERGEFORMATINET </w:instrText>
    </w:r>
    <w:r w:rsidR="00120247">
      <w:rPr>
        <w:lang w:eastAsia="es-AR"/>
      </w:rPr>
      <w:fldChar w:fldCharType="separate"/>
    </w:r>
    <w:r w:rsidR="0055671F">
      <w:rPr>
        <w:lang w:eastAsia="es-AR"/>
      </w:rPr>
      <w:fldChar w:fldCharType="begin"/>
    </w:r>
    <w:r w:rsidR="0055671F">
      <w:rPr>
        <w:lang w:eastAsia="es-AR"/>
      </w:rPr>
      <w:instrText xml:space="preserve"> INCLUDEPICTURE  "cid:image001.png@01D28DE3.A5F38BE0" \* MERGEFORMATINET </w:instrText>
    </w:r>
    <w:r w:rsidR="0055671F">
      <w:rPr>
        <w:lang w:eastAsia="es-AR"/>
      </w:rPr>
      <w:fldChar w:fldCharType="separate"/>
    </w:r>
    <w:r w:rsidR="00547945">
      <w:rPr>
        <w:lang w:eastAsia="es-AR"/>
      </w:rPr>
      <w:fldChar w:fldCharType="begin"/>
    </w:r>
    <w:r w:rsidR="00547945">
      <w:rPr>
        <w:lang w:eastAsia="es-AR"/>
      </w:rPr>
      <w:instrText xml:space="preserve"> INCLUDEPICTURE  "cid:image001.png@01D28DE3.A5F38BE0" \* MERGEFORMATINET </w:instrText>
    </w:r>
    <w:r w:rsidR="00547945">
      <w:rPr>
        <w:lang w:eastAsia="es-AR"/>
      </w:rPr>
      <w:fldChar w:fldCharType="separate"/>
    </w:r>
    <w:r w:rsidR="003A4AD7">
      <w:rPr>
        <w:lang w:eastAsia="es-AR"/>
      </w:rPr>
      <w:fldChar w:fldCharType="begin"/>
    </w:r>
    <w:r w:rsidR="003A4AD7">
      <w:rPr>
        <w:lang w:eastAsia="es-AR"/>
      </w:rPr>
      <w:instrText xml:space="preserve"> INCLUDEPICTURE  "cid:image001.png@01D28DE3.A5F38BE0" \* MERGEFORMATINET </w:instrText>
    </w:r>
    <w:r w:rsidR="003A4AD7">
      <w:rPr>
        <w:lang w:eastAsia="es-AR"/>
      </w:rPr>
      <w:fldChar w:fldCharType="separate"/>
    </w:r>
    <w:r w:rsidR="00CA69B1">
      <w:rPr>
        <w:lang w:eastAsia="es-AR"/>
      </w:rPr>
      <w:fldChar w:fldCharType="begin"/>
    </w:r>
    <w:r w:rsidR="00CA69B1">
      <w:rPr>
        <w:lang w:eastAsia="es-AR"/>
      </w:rPr>
      <w:instrText xml:space="preserve"> INCLUDEPICTURE  "cid:image001.png@01D28DE3.A5F38BE0" \* MERGEFORMATINET </w:instrText>
    </w:r>
    <w:r w:rsidR="00CA69B1">
      <w:rPr>
        <w:lang w:eastAsia="es-AR"/>
      </w:rPr>
      <w:fldChar w:fldCharType="separate"/>
    </w:r>
    <w:r w:rsidR="000358F7">
      <w:rPr>
        <w:lang w:eastAsia="es-AR"/>
      </w:rPr>
      <w:fldChar w:fldCharType="begin"/>
    </w:r>
    <w:r w:rsidR="000358F7">
      <w:rPr>
        <w:lang w:eastAsia="es-AR"/>
      </w:rPr>
      <w:instrText xml:space="preserve"> INCLUDEPICTURE  "cid:image001.png@01D28DE3.A5F38BE0" \* MERGEFORMATINET </w:instrText>
    </w:r>
    <w:r w:rsidR="000358F7">
      <w:rPr>
        <w:lang w:eastAsia="es-AR"/>
      </w:rPr>
      <w:fldChar w:fldCharType="separate"/>
    </w:r>
    <w:r w:rsidR="00B048D5">
      <w:rPr>
        <w:lang w:eastAsia="es-AR"/>
      </w:rPr>
      <w:fldChar w:fldCharType="begin"/>
    </w:r>
    <w:r w:rsidR="00B048D5">
      <w:rPr>
        <w:lang w:eastAsia="es-AR"/>
      </w:rPr>
      <w:instrText xml:space="preserve"> </w:instrText>
    </w:r>
    <w:r w:rsidR="00B048D5">
      <w:rPr>
        <w:lang w:eastAsia="es-AR"/>
      </w:rPr>
      <w:instrText>INCLUDEPICTURE  "cid:image001.png@01D28DE3.A5F38BE0" \* MERGEFORMATINET</w:instrText>
    </w:r>
    <w:r w:rsidR="00B048D5">
      <w:rPr>
        <w:lang w:eastAsia="es-AR"/>
      </w:rPr>
      <w:instrText xml:space="preserve"> </w:instrText>
    </w:r>
    <w:r w:rsidR="00B048D5">
      <w:rPr>
        <w:lang w:eastAsia="es-AR"/>
      </w:rPr>
      <w:fldChar w:fldCharType="separate"/>
    </w:r>
    <w:r w:rsidR="00B048D5">
      <w:rPr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432.7pt;height:41.95pt">
          <v:imagedata r:id="rId1" r:href="rId2"/>
        </v:shape>
      </w:pict>
    </w:r>
    <w:r w:rsidR="00B048D5">
      <w:rPr>
        <w:lang w:eastAsia="es-AR"/>
      </w:rPr>
      <w:fldChar w:fldCharType="end"/>
    </w:r>
    <w:r w:rsidR="000358F7">
      <w:rPr>
        <w:lang w:eastAsia="es-AR"/>
      </w:rPr>
      <w:fldChar w:fldCharType="end"/>
    </w:r>
    <w:r w:rsidR="00CA69B1">
      <w:rPr>
        <w:lang w:eastAsia="es-AR"/>
      </w:rPr>
      <w:fldChar w:fldCharType="end"/>
    </w:r>
    <w:r w:rsidR="003A4AD7">
      <w:rPr>
        <w:lang w:eastAsia="es-AR"/>
      </w:rPr>
      <w:fldChar w:fldCharType="end"/>
    </w:r>
    <w:r w:rsidR="00547945">
      <w:rPr>
        <w:lang w:eastAsia="es-AR"/>
      </w:rPr>
      <w:fldChar w:fldCharType="end"/>
    </w:r>
    <w:r w:rsidR="0055671F">
      <w:rPr>
        <w:lang w:eastAsia="es-AR"/>
      </w:rPr>
      <w:fldChar w:fldCharType="end"/>
    </w:r>
    <w:r w:rsidR="00120247">
      <w:rPr>
        <w:lang w:eastAsia="es-AR"/>
      </w:rPr>
      <w:fldChar w:fldCharType="end"/>
    </w:r>
    <w:r w:rsidR="00011D14">
      <w:rPr>
        <w:lang w:eastAsia="es-AR"/>
      </w:rPr>
      <w:fldChar w:fldCharType="end"/>
    </w:r>
    <w:r w:rsidR="00F66453">
      <w:rPr>
        <w:lang w:eastAsia="es-AR"/>
      </w:rPr>
      <w:fldChar w:fldCharType="end"/>
    </w:r>
    <w:r w:rsidR="00214F1F">
      <w:rPr>
        <w:lang w:eastAsia="es-AR"/>
      </w:rPr>
      <w:fldChar w:fldCharType="end"/>
    </w:r>
    <w:r w:rsidR="009D624A">
      <w:rPr>
        <w:lang w:eastAsia="es-AR"/>
      </w:rPr>
      <w:fldChar w:fldCharType="end"/>
    </w:r>
    <w:r>
      <w:rPr>
        <w:lang w:eastAsia="es-AR"/>
      </w:rPr>
      <w:fldChar w:fldCharType="end"/>
    </w:r>
  </w:p>
  <w:p w:rsidR="00BB2A41" w:rsidRPr="007D721D" w:rsidRDefault="00BB2A41" w:rsidP="00BB2A41">
    <w:pPr>
      <w:pStyle w:val="Encabezado"/>
      <w:tabs>
        <w:tab w:val="clear" w:pos="4419"/>
      </w:tabs>
      <w:jc w:val="center"/>
      <w:rPr>
        <w:sz w:val="20"/>
        <w:szCs w:val="20"/>
      </w:rPr>
    </w:pPr>
    <w:r w:rsidRPr="007D721D">
      <w:rPr>
        <w:sz w:val="20"/>
        <w:szCs w:val="20"/>
      </w:rPr>
      <w:t>PRESIDENCIA PRO TEMPORE ARGENTINA</w:t>
    </w:r>
  </w:p>
  <w:p w:rsidR="00BB2A41" w:rsidRDefault="00BB2A41">
    <w:pPr>
      <w:pStyle w:val="Encabezado"/>
    </w:pPr>
  </w:p>
  <w:p w:rsidR="00BB2A41" w:rsidRDefault="00BB2A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C10"/>
    <w:multiLevelType w:val="hybridMultilevel"/>
    <w:tmpl w:val="F7ECA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0BCC8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11709"/>
    <w:multiLevelType w:val="hybridMultilevel"/>
    <w:tmpl w:val="EADCA78A"/>
    <w:lvl w:ilvl="0" w:tplc="DEFE6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22F8"/>
    <w:multiLevelType w:val="hybridMultilevel"/>
    <w:tmpl w:val="DC5664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43162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D35E7"/>
    <w:multiLevelType w:val="hybridMultilevel"/>
    <w:tmpl w:val="3F3ADE0A"/>
    <w:lvl w:ilvl="0" w:tplc="9DA2EA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70D3E"/>
    <w:multiLevelType w:val="hybridMultilevel"/>
    <w:tmpl w:val="4CB423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3B43"/>
    <w:multiLevelType w:val="hybridMultilevel"/>
    <w:tmpl w:val="5FD02FFE"/>
    <w:lvl w:ilvl="0" w:tplc="F3909CB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66F92"/>
    <w:multiLevelType w:val="hybridMultilevel"/>
    <w:tmpl w:val="0A1663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F73D3"/>
    <w:multiLevelType w:val="hybridMultilevel"/>
    <w:tmpl w:val="8CCA82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E3857"/>
    <w:multiLevelType w:val="hybridMultilevel"/>
    <w:tmpl w:val="408A7B4C"/>
    <w:lvl w:ilvl="0" w:tplc="A6CC71B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6006B"/>
    <w:multiLevelType w:val="hybridMultilevel"/>
    <w:tmpl w:val="80FA884A"/>
    <w:lvl w:ilvl="0" w:tplc="A6CC71B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C089C"/>
    <w:multiLevelType w:val="hybridMultilevel"/>
    <w:tmpl w:val="E954E7D2"/>
    <w:lvl w:ilvl="0" w:tplc="9DA2EA30">
      <w:start w:val="2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4761F"/>
    <w:multiLevelType w:val="hybridMultilevel"/>
    <w:tmpl w:val="B7DE3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165A8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74BEE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0008C"/>
    <w:multiLevelType w:val="hybridMultilevel"/>
    <w:tmpl w:val="38A80FE4"/>
    <w:lvl w:ilvl="0" w:tplc="A6CC71B4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960D6D"/>
    <w:multiLevelType w:val="hybridMultilevel"/>
    <w:tmpl w:val="9F646664"/>
    <w:lvl w:ilvl="0" w:tplc="9DA2EA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F1B49"/>
    <w:multiLevelType w:val="hybridMultilevel"/>
    <w:tmpl w:val="FCEEE2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8441A"/>
    <w:multiLevelType w:val="hybridMultilevel"/>
    <w:tmpl w:val="B798DE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63D80"/>
    <w:multiLevelType w:val="hybridMultilevel"/>
    <w:tmpl w:val="5A40E584"/>
    <w:lvl w:ilvl="0" w:tplc="8584A4D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00FB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D03F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26E00"/>
    <w:multiLevelType w:val="hybridMultilevel"/>
    <w:tmpl w:val="98569D7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E263E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32C95"/>
    <w:multiLevelType w:val="hybridMultilevel"/>
    <w:tmpl w:val="243450C8"/>
    <w:lvl w:ilvl="0" w:tplc="A6CC71B4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5054A8"/>
    <w:multiLevelType w:val="hybridMultilevel"/>
    <w:tmpl w:val="EB9C7F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20"/>
  </w:num>
  <w:num w:numId="5">
    <w:abstractNumId w:val="22"/>
  </w:num>
  <w:num w:numId="6">
    <w:abstractNumId w:val="18"/>
  </w:num>
  <w:num w:numId="7">
    <w:abstractNumId w:val="15"/>
  </w:num>
  <w:num w:numId="8">
    <w:abstractNumId w:val="3"/>
  </w:num>
  <w:num w:numId="9">
    <w:abstractNumId w:val="17"/>
  </w:num>
  <w:num w:numId="10">
    <w:abstractNumId w:val="2"/>
  </w:num>
  <w:num w:numId="11">
    <w:abstractNumId w:val="24"/>
  </w:num>
  <w:num w:numId="12">
    <w:abstractNumId w:val="0"/>
  </w:num>
  <w:num w:numId="13">
    <w:abstractNumId w:val="11"/>
  </w:num>
  <w:num w:numId="14">
    <w:abstractNumId w:val="21"/>
  </w:num>
  <w:num w:numId="15">
    <w:abstractNumId w:val="16"/>
  </w:num>
  <w:num w:numId="16">
    <w:abstractNumId w:val="9"/>
  </w:num>
  <w:num w:numId="17">
    <w:abstractNumId w:val="23"/>
  </w:num>
  <w:num w:numId="18">
    <w:abstractNumId w:val="14"/>
  </w:num>
  <w:num w:numId="19">
    <w:abstractNumId w:val="8"/>
  </w:num>
  <w:num w:numId="20">
    <w:abstractNumId w:val="10"/>
  </w:num>
  <w:num w:numId="21">
    <w:abstractNumId w:val="5"/>
  </w:num>
  <w:num w:numId="22">
    <w:abstractNumId w:val="4"/>
  </w:num>
  <w:num w:numId="23">
    <w:abstractNumId w:val="1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41"/>
    <w:rsid w:val="00011D14"/>
    <w:rsid w:val="000358F7"/>
    <w:rsid w:val="0004569E"/>
    <w:rsid w:val="00120247"/>
    <w:rsid w:val="00214F1F"/>
    <w:rsid w:val="002E5622"/>
    <w:rsid w:val="003A4AD7"/>
    <w:rsid w:val="003E4059"/>
    <w:rsid w:val="003F5174"/>
    <w:rsid w:val="005455A0"/>
    <w:rsid w:val="00547945"/>
    <w:rsid w:val="0055671F"/>
    <w:rsid w:val="0067618F"/>
    <w:rsid w:val="007B147F"/>
    <w:rsid w:val="007F4933"/>
    <w:rsid w:val="00807BA7"/>
    <w:rsid w:val="009D624A"/>
    <w:rsid w:val="00A261B3"/>
    <w:rsid w:val="00AB7797"/>
    <w:rsid w:val="00B048D5"/>
    <w:rsid w:val="00BB2A41"/>
    <w:rsid w:val="00C7475C"/>
    <w:rsid w:val="00CA69B1"/>
    <w:rsid w:val="00CE3E01"/>
    <w:rsid w:val="00F6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9E"/>
    <w:pPr>
      <w:spacing w:after="200" w:line="276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B2A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41"/>
    <w:rPr>
      <w:rFonts w:ascii="Cambria" w:eastAsia="Times New Roman" w:hAnsi="Cambria" w:cs="Times New Roman"/>
      <w:b/>
      <w:bCs/>
      <w:kern w:val="32"/>
      <w:sz w:val="32"/>
      <w:szCs w:val="32"/>
      <w:lang w:val="es-AR"/>
    </w:rPr>
  </w:style>
  <w:style w:type="paragraph" w:customStyle="1" w:styleId="Default">
    <w:name w:val="Default"/>
    <w:rsid w:val="00BB2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A41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A41"/>
    <w:rPr>
      <w:rFonts w:ascii="Calibri" w:eastAsia="Calibri" w:hAnsi="Calibri" w:cs="Times New Roman"/>
      <w:lang w:val="es-AR"/>
    </w:rPr>
  </w:style>
  <w:style w:type="paragraph" w:styleId="Prrafodelista">
    <w:name w:val="List Paragraph"/>
    <w:basedOn w:val="Normal"/>
    <w:uiPriority w:val="34"/>
    <w:qFormat/>
    <w:rsid w:val="00C7475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9E"/>
    <w:pPr>
      <w:spacing w:after="200" w:line="276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B2A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41"/>
    <w:rPr>
      <w:rFonts w:ascii="Cambria" w:eastAsia="Times New Roman" w:hAnsi="Cambria" w:cs="Times New Roman"/>
      <w:b/>
      <w:bCs/>
      <w:kern w:val="32"/>
      <w:sz w:val="32"/>
      <w:szCs w:val="32"/>
      <w:lang w:val="es-AR"/>
    </w:rPr>
  </w:style>
  <w:style w:type="paragraph" w:customStyle="1" w:styleId="Default">
    <w:name w:val="Default"/>
    <w:rsid w:val="00BB2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A41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A41"/>
    <w:rPr>
      <w:rFonts w:ascii="Calibri" w:eastAsia="Calibri" w:hAnsi="Calibri" w:cs="Times New Roman"/>
      <w:lang w:val="es-AR"/>
    </w:rPr>
  </w:style>
  <w:style w:type="paragraph" w:styleId="Prrafodelista">
    <w:name w:val="List Paragraph"/>
    <w:basedOn w:val="Normal"/>
    <w:uiPriority w:val="34"/>
    <w:qFormat/>
    <w:rsid w:val="00C7475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8DE3.A5F38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F94DDE-3D82-44F8-88C8-9515BE9C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 Torres de la Puerta</dc:creator>
  <cp:lastModifiedBy>Marleide Ferreira Rocha</cp:lastModifiedBy>
  <cp:revision>2</cp:revision>
  <dcterms:created xsi:type="dcterms:W3CDTF">2017-05-11T15:45:00Z</dcterms:created>
  <dcterms:modified xsi:type="dcterms:W3CDTF">2017-05-11T15:45:00Z</dcterms:modified>
</cp:coreProperties>
</file>